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3EAD" w14:textId="77777777" w:rsidR="00FE0FA1" w:rsidRPr="00FE0FA1" w:rsidRDefault="00FE0FA1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</w:pPr>
      <w:r w:rsidRPr="00FE0FA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  <w:t xml:space="preserve">THE HUNGARIAN ACADEMY OF SCIENCES </w:t>
      </w:r>
    </w:p>
    <w:p w14:paraId="00045974" w14:textId="5AE7156B" w:rsidR="00FE0FA1" w:rsidRPr="00FE0FA1" w:rsidRDefault="00FE0FA1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</w:pPr>
      <w:r w:rsidRPr="00FE0FA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  <w:t xml:space="preserve">KINDLY INVITES YOU TO ATTEND THE EVENT OF </w:t>
      </w:r>
    </w:p>
    <w:p w14:paraId="0EA4E62D" w14:textId="77777777" w:rsidR="00FE0FA1" w:rsidRPr="00FE0FA1" w:rsidRDefault="00FE0FA1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</w:pPr>
      <w:r w:rsidRPr="00FE0FA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  <w:t xml:space="preserve">THE HUNGARIAN SCIENCE FESTIVAL </w:t>
      </w:r>
    </w:p>
    <w:p w14:paraId="74644A5B" w14:textId="784A6E36" w:rsidR="00C3674B" w:rsidRPr="00FE0FA1" w:rsidRDefault="00FE0FA1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</w:pPr>
      <w:r w:rsidRPr="00FE0FA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</w:rPr>
        <w:t>WITH THE TITLE</w:t>
      </w:r>
    </w:p>
    <w:p w14:paraId="69CE56DD" w14:textId="23349F22" w:rsidR="00C227ED" w:rsidRPr="00FE0FA1" w:rsidRDefault="00FE470F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Cs w:val="0"/>
          <w:i/>
          <w:iCs/>
          <w:caps/>
          <w:color w:val="004C67"/>
          <w:spacing w:val="30"/>
          <w:sz w:val="20"/>
          <w:szCs w:val="20"/>
        </w:rPr>
      </w:pPr>
      <w:r w:rsidRPr="00FE470F">
        <w:rPr>
          <w:rStyle w:val="bold"/>
          <w:rFonts w:ascii="Constantia" w:hAnsi="Constantia" w:cs="IdealSans-LightItalic"/>
          <w:bCs w:val="0"/>
          <w:i/>
          <w:iCs/>
          <w:caps/>
          <w:color w:val="004C67"/>
          <w:spacing w:val="30"/>
          <w:sz w:val="20"/>
          <w:szCs w:val="20"/>
        </w:rPr>
        <w:t>Békésy symposium: mechanisms of hearing along the footsteps of Georg von Békésy</w:t>
      </w:r>
    </w:p>
    <w:p w14:paraId="41A26C38" w14:textId="77777777" w:rsidR="00061A07" w:rsidRPr="00FE0FA1" w:rsidRDefault="00061A07" w:rsidP="00061A07">
      <w:pPr>
        <w:pStyle w:val="Alapbekezds"/>
        <w:rPr>
          <w:rFonts w:ascii="Constantia" w:hAnsi="Constantia" w:cs="IdealSans-Light"/>
          <w:color w:val="004C67"/>
          <w:spacing w:val="5"/>
        </w:rPr>
      </w:pPr>
    </w:p>
    <w:p w14:paraId="0F1E8606" w14:textId="77777777" w:rsidR="00061A07" w:rsidRPr="00FE0FA1" w:rsidRDefault="00061A07" w:rsidP="00061A07">
      <w:pPr>
        <w:rPr>
          <w:rFonts w:ascii="Constantia" w:hAnsi="Constantia"/>
        </w:rPr>
      </w:pPr>
    </w:p>
    <w:p w14:paraId="21085A51" w14:textId="77777777" w:rsidR="00061A07" w:rsidRPr="00FE0FA1" w:rsidRDefault="00061A07" w:rsidP="00061A07">
      <w:pPr>
        <w:rPr>
          <w:rFonts w:ascii="Constantia" w:hAnsi="Constantia"/>
        </w:rPr>
      </w:pPr>
    </w:p>
    <w:p w14:paraId="587D8980" w14:textId="5CD45F55" w:rsidR="00061A07" w:rsidRPr="00FE0FA1" w:rsidRDefault="00FE0FA1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</w:pP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Date and time of venue</w:t>
      </w:r>
      <w:r w:rsidR="00061A07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:</w:t>
      </w:r>
    </w:p>
    <w:p w14:paraId="6310D68E" w14:textId="78456CAA" w:rsidR="00061A07" w:rsidRPr="00FE0FA1" w:rsidRDefault="00FE0FA1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</w:pP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30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vertAlign w:val="superscript"/>
        </w:rPr>
        <w:t>th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 xml:space="preserve"> of November </w:t>
      </w:r>
      <w:r w:rsidR="00814227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202</w:t>
      </w:r>
      <w:r w:rsidR="00C15C55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2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.</w:t>
      </w:r>
      <w:r w:rsidR="00747584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 xml:space="preserve"> [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Wednesday</w:t>
      </w:r>
      <w:r w:rsidR="00747584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]</w:t>
      </w:r>
      <w:r w:rsidR="00061A07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 xml:space="preserve"> 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3:00 PM</w:t>
      </w:r>
      <w:r w:rsidR="00061A07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br/>
      </w:r>
    </w:p>
    <w:p w14:paraId="1803E45F" w14:textId="51CAFDC9" w:rsidR="00061A07" w:rsidRPr="00FE0FA1" w:rsidRDefault="00FE0FA1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</w:pP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Address</w:t>
      </w:r>
      <w:r w:rsidR="00061A07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:</w:t>
      </w:r>
    </w:p>
    <w:p w14:paraId="685CE1BB" w14:textId="714D6F9A" w:rsidR="00061A07" w:rsidRPr="00FE0FA1" w:rsidRDefault="00FE0FA1" w:rsidP="00061A07">
      <w:pPr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</w:pP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HAS Main Building Conference room</w:t>
      </w:r>
      <w:r w:rsidR="00061A07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br/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 xml:space="preserve">9. </w:t>
      </w:r>
      <w:proofErr w:type="spellStart"/>
      <w:r w:rsidR="00C658AE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Széchenyi</w:t>
      </w:r>
      <w:proofErr w:type="spellEnd"/>
      <w:r w:rsidR="00C658AE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 xml:space="preserve"> István 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square,</w:t>
      </w:r>
      <w:r w:rsidR="00C658AE"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 xml:space="preserve"> </w:t>
      </w:r>
      <w:r w:rsidRPr="00FE0FA1">
        <w:rPr>
          <w:rFonts w:ascii="Calibri" w:hAnsi="Calibri" w:cs="IdealSans-Light"/>
          <w:color w:val="404040" w:themeColor="text1" w:themeTint="BF"/>
          <w:spacing w:val="4"/>
          <w:sz w:val="20"/>
          <w:szCs w:val="20"/>
        </w:rPr>
        <w:t>1051 Budapest</w:t>
      </w:r>
    </w:p>
    <w:p w14:paraId="4E4CBF3D" w14:textId="77777777" w:rsidR="00061A07" w:rsidRPr="00FE0FA1" w:rsidRDefault="00061A07" w:rsidP="00061A07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14:paraId="71516E1C" w14:textId="77777777" w:rsidR="00061A07" w:rsidRPr="00FE0FA1" w:rsidRDefault="00061A07" w:rsidP="00061A07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14:paraId="247918D1" w14:textId="63229B31" w:rsidR="00061A07" w:rsidRPr="00FE0FA1" w:rsidRDefault="00061A07" w:rsidP="00061A07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14:paraId="54B9D3F4" w14:textId="77777777" w:rsidR="00061A07" w:rsidRPr="00FE0FA1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ECB485"/>
          <w:spacing w:val="73"/>
          <w:sz w:val="20"/>
          <w:szCs w:val="20"/>
        </w:rPr>
      </w:pPr>
      <w:r w:rsidRPr="00FE0FA1"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</w:rPr>
        <w:t>Program</w:t>
      </w:r>
    </w:p>
    <w:p w14:paraId="78052329" w14:textId="35F681B3" w:rsidR="00061A07" w:rsidRPr="00FE0FA1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sz w:val="20"/>
          <w:szCs w:val="20"/>
        </w:rPr>
      </w:pPr>
    </w:p>
    <w:p w14:paraId="4CDA7A35" w14:textId="77777777" w:rsidR="003355D0" w:rsidRPr="00FE0FA1" w:rsidRDefault="003355D0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sz w:val="20"/>
          <w:szCs w:val="20"/>
        </w:rPr>
      </w:pPr>
    </w:p>
    <w:p w14:paraId="405D880B" w14:textId="77777777" w:rsidR="00FD3231" w:rsidRPr="00FE0FA1" w:rsidRDefault="00FD3231" w:rsidP="00747584">
      <w:pPr>
        <w:ind w:left="1440" w:hanging="1440"/>
        <w:rPr>
          <w:rFonts w:ascii="Calibri" w:hAnsi="Calibri" w:cs="IdealSans-Light"/>
          <w:caps/>
          <w:color w:val="404040" w:themeColor="text1" w:themeTint="BF"/>
          <w:sz w:val="20"/>
          <w:szCs w:val="20"/>
          <w:highlight w:val="yellow"/>
        </w:rPr>
      </w:pPr>
    </w:p>
    <w:p w14:paraId="01B805B2" w14:textId="3B26AC58" w:rsidR="005979E7" w:rsidRPr="00FE0FA1" w:rsidRDefault="00195ABD" w:rsidP="00195ABD">
      <w:pPr>
        <w:ind w:left="1440" w:hanging="1440"/>
        <w:rPr>
          <w:rFonts w:ascii="Calibri" w:hAnsi="Calibri" w:cs="IdealSans-Medium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747584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.00–</w:t>
      </w: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05</w:t>
      </w:r>
      <w:r w:rsidR="00747584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="00747584"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="00C227ED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introduction</w:t>
      </w:r>
      <w:r w:rsidR="00747584"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="00C227ED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György Panyi</w:t>
      </w:r>
      <w:r w:rsidR="00FE470F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,</w:t>
      </w:r>
      <w:r w:rsidR="00C227ED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Miklós </w:t>
      </w:r>
      <w:proofErr w:type="spellStart"/>
      <w:r w:rsidR="00C227ED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Kellermayer</w:t>
      </w:r>
      <w:proofErr w:type="spellEnd"/>
      <w:r w:rsidR="00FE470F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and Peter </w:t>
      </w:r>
      <w:proofErr w:type="spellStart"/>
      <w:r w:rsidR="00FE470F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Dallos</w:t>
      </w:r>
      <w:proofErr w:type="spellEnd"/>
    </w:p>
    <w:p w14:paraId="53DD876A" w14:textId="7C6F6E88" w:rsidR="005979E7" w:rsidRPr="00FE0FA1" w:rsidRDefault="005979E7" w:rsidP="00C227ED">
      <w:pPr>
        <w:rPr>
          <w:rFonts w:ascii="Calibri" w:hAnsi="Calibri" w:cs="IdealSans-Light"/>
          <w:caps/>
          <w:color w:val="404040" w:themeColor="text1" w:themeTint="BF"/>
          <w:sz w:val="20"/>
          <w:szCs w:val="20"/>
        </w:rPr>
      </w:pPr>
    </w:p>
    <w:p w14:paraId="61D396E6" w14:textId="2EB33E69" w:rsidR="005979E7" w:rsidRPr="00FE0FA1" w:rsidRDefault="00195ABD" w:rsidP="00195AB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05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–1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="005979E7"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="00C227ED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The heritage of Georg von Békésy</w:t>
      </w:r>
      <w:r w:rsidR="005979E7"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="00C227ED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Mariann </w:t>
      </w:r>
      <w:proofErr w:type="spellStart"/>
      <w:r w:rsidR="00C227ED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Békésy</w:t>
      </w:r>
      <w:proofErr w:type="spellEnd"/>
    </w:p>
    <w:p w14:paraId="328A6EB2" w14:textId="77777777" w:rsidR="005979E7" w:rsidRPr="00FE0FA1" w:rsidRDefault="005979E7" w:rsidP="00061A07"/>
    <w:p w14:paraId="296FC629" w14:textId="77777777" w:rsidR="00FE470F" w:rsidRDefault="00195ABD" w:rsidP="00FE470F">
      <w:pPr>
        <w:ind w:left="1440" w:hanging="1440"/>
        <w:jc w:val="both"/>
        <w:rPr>
          <w:rFonts w:ascii="Calibri" w:hAnsi="Calibri" w:cs="IdealSans-Medium"/>
          <w:iCs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–1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45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="005979E7"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="00FE470F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Prestin Conformational Dynamics and the Molecular Basis of the Cochlear Amplifier</w:t>
      </w:r>
      <w:r w:rsidR="00FE470F"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="00FE470F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Eduardo </w:t>
      </w:r>
      <w:proofErr w:type="spellStart"/>
      <w:r w:rsidR="00FE470F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Perozo</w:t>
      </w:r>
      <w:proofErr w:type="spellEnd"/>
      <w:r w:rsidR="00FE470F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, </w:t>
      </w:r>
      <w:r w:rsidR="00FE470F"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Ph.D. (Professor, Biochemistry &amp; Molecular Biology, Institute for Biophysical Dynamics; Pritzker Fellow, The University of Chicago)</w:t>
      </w:r>
    </w:p>
    <w:p w14:paraId="79727068" w14:textId="5C844173" w:rsidR="00C86B20" w:rsidRPr="00FE0FA1" w:rsidRDefault="00C86B20" w:rsidP="004718F3">
      <w:pPr>
        <w:rPr>
          <w:rFonts w:ascii="Calibri" w:hAnsi="Calibri" w:cs="IdealSans-Light"/>
          <w:caps/>
          <w:color w:val="404040" w:themeColor="text1" w:themeTint="BF"/>
          <w:sz w:val="20"/>
          <w:szCs w:val="20"/>
        </w:rPr>
      </w:pPr>
    </w:p>
    <w:p w14:paraId="641C5EB9" w14:textId="311AACA3" w:rsidR="000E40CF" w:rsidRPr="00FE0FA1" w:rsidRDefault="00195ABD" w:rsidP="000E40CF">
      <w:pPr>
        <w:ind w:left="1440" w:hanging="1440"/>
        <w:rPr>
          <w:rFonts w:ascii="Calibri" w:hAnsi="Calibri" w:cs="IdealSans-Medium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45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–1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6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C227ED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="005979E7"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="000E40CF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Molecular Composition of the Mechanotransduction Channel Complex of Cochlear Hair Cells</w:t>
      </w:r>
      <w:r w:rsidR="000E40CF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 xml:space="preserve"> </w:t>
      </w:r>
      <w:r w:rsidR="000E40CF" w:rsidRPr="000E40CF">
        <w:rPr>
          <w:rFonts w:ascii="Calibri" w:hAnsi="Calibri" w:cs="IdealSans-Medium"/>
          <w:bCs/>
          <w:caps/>
          <w:color w:val="404040" w:themeColor="text1" w:themeTint="BF"/>
          <w:sz w:val="20"/>
          <w:szCs w:val="20"/>
        </w:rPr>
        <w:t xml:space="preserve"> (</w:t>
      </w:r>
      <w:r w:rsidR="000E40CF" w:rsidRPr="000E40CF">
        <w:rPr>
          <w:rFonts w:ascii="Calibri" w:hAnsi="Calibri" w:cs="IdealSans-Medium"/>
          <w:color w:val="404040" w:themeColor="text1" w:themeTint="BF"/>
          <w:sz w:val="20"/>
          <w:szCs w:val="20"/>
        </w:rPr>
        <w:t>online)</w:t>
      </w:r>
      <w:r w:rsidR="000E40CF"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="000E40CF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Ulrich Mueller, </w:t>
      </w:r>
      <w:r w:rsidR="000E40CF"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Ph.D., (Bloomberg Professor of Neuroscience, Johns Hopkins University)</w:t>
      </w:r>
    </w:p>
    <w:p w14:paraId="50B0E443" w14:textId="77777777" w:rsidR="00FE470F" w:rsidRPr="00FE0FA1" w:rsidRDefault="00FE470F" w:rsidP="00FE470F">
      <w:pPr>
        <w:rPr>
          <w:rFonts w:ascii="Calibri" w:hAnsi="Calibri" w:cs="IdealSans-Light"/>
          <w:caps/>
          <w:color w:val="404040" w:themeColor="text1" w:themeTint="BF"/>
          <w:sz w:val="20"/>
          <w:szCs w:val="20"/>
        </w:rPr>
      </w:pPr>
    </w:p>
    <w:p w14:paraId="522152AA" w14:textId="2C3A22EE" w:rsidR="000E40CF" w:rsidRPr="00FE0FA1" w:rsidRDefault="00195ABD" w:rsidP="000E40CF">
      <w:pPr>
        <w:ind w:left="1440" w:hanging="1440"/>
        <w:jc w:val="both"/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6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–1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6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45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="005979E7"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="000E40CF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 xml:space="preserve">Mechanical gating of the TMC1 transduction channel in hair </w:t>
      </w:r>
      <w:proofErr w:type="gramStart"/>
      <w:r w:rsidR="000E40CF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cells</w:t>
      </w:r>
      <w:r w:rsidR="000E40CF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 xml:space="preserve"> </w:t>
      </w:r>
      <w:r w:rsidR="000E40CF" w:rsidRPr="000E40CF">
        <w:rPr>
          <w:rFonts w:ascii="Calibri" w:hAnsi="Calibri" w:cs="IdealSans-Medium"/>
          <w:bCs/>
          <w:caps/>
          <w:color w:val="404040" w:themeColor="text1" w:themeTint="BF"/>
          <w:sz w:val="20"/>
          <w:szCs w:val="20"/>
        </w:rPr>
        <w:t xml:space="preserve"> (</w:t>
      </w:r>
      <w:proofErr w:type="gramEnd"/>
      <w:r w:rsidR="000E40CF" w:rsidRPr="000E40CF">
        <w:rPr>
          <w:rFonts w:ascii="Calibri" w:hAnsi="Calibri" w:cs="IdealSans-Medium"/>
          <w:color w:val="404040" w:themeColor="text1" w:themeTint="BF"/>
          <w:sz w:val="20"/>
          <w:szCs w:val="20"/>
        </w:rPr>
        <w:t>online)</w:t>
      </w:r>
      <w:r w:rsidR="000E40CF"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="000E40CF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David Corey, </w:t>
      </w:r>
      <w:r w:rsidR="000E40CF"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Ph.D. (Bertarelli Professor of Translational Medical Science, Harvard Medical School)</w:t>
      </w:r>
    </w:p>
    <w:p w14:paraId="30CA0FAF" w14:textId="636D12CE" w:rsidR="005979E7" w:rsidRPr="00FE0FA1" w:rsidRDefault="005979E7" w:rsidP="00937FFA">
      <w:pPr>
        <w:ind w:left="1440" w:hanging="1440"/>
        <w:rPr>
          <w:rFonts w:ascii="Calibri" w:hAnsi="Calibri" w:cs="IdealSans-Medium"/>
          <w:color w:val="404040" w:themeColor="text1" w:themeTint="BF"/>
          <w:sz w:val="20"/>
          <w:szCs w:val="20"/>
        </w:rPr>
      </w:pPr>
    </w:p>
    <w:p w14:paraId="0DAC4132" w14:textId="05BFAC5A" w:rsidR="0023082A" w:rsidRPr="00FE0FA1" w:rsidRDefault="0023082A" w:rsidP="0023082A">
      <w:pPr>
        <w:jc w:val="both"/>
        <w:rPr>
          <w:rFonts w:ascii="Calibri" w:hAnsi="Calibri" w:cs="IdealSans-Medium"/>
          <w:color w:val="404040" w:themeColor="text1" w:themeTint="BF"/>
          <w:sz w:val="20"/>
          <w:szCs w:val="20"/>
        </w:rPr>
      </w:pPr>
    </w:p>
    <w:p w14:paraId="134A021C" w14:textId="492F7387" w:rsidR="00937FFA" w:rsidRPr="000E40CF" w:rsidRDefault="00195ABD" w:rsidP="00937FFA">
      <w:pPr>
        <w:ind w:left="1440" w:hanging="1440"/>
        <w:jc w:val="both"/>
        <w:rPr>
          <w:rFonts w:ascii="Calibri" w:hAnsi="Calibri" w:cs="IdealSans-Medium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6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45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–1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7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.</w:t>
      </w:r>
      <w:r w:rsidR="0023082A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</w:t>
      </w: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5</w:t>
      </w:r>
      <w:r w:rsidR="005979E7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="005979E7"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="00937FFA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Critical behavior in the active process of cochlear hair cells</w:t>
      </w:r>
      <w:r w:rsidR="000E40CF" w:rsidRPr="000E40CF">
        <w:rPr>
          <w:rFonts w:ascii="Calibri" w:hAnsi="Calibri" w:cs="IdealSans-Medium"/>
          <w:bCs/>
          <w:caps/>
          <w:color w:val="404040" w:themeColor="text1" w:themeTint="BF"/>
          <w:sz w:val="20"/>
          <w:szCs w:val="20"/>
        </w:rPr>
        <w:t xml:space="preserve"> (</w:t>
      </w:r>
      <w:r w:rsidR="000E40CF" w:rsidRPr="000E40CF">
        <w:rPr>
          <w:rFonts w:ascii="Calibri" w:hAnsi="Calibri" w:cs="IdealSans-Medium"/>
          <w:color w:val="404040" w:themeColor="text1" w:themeTint="BF"/>
          <w:sz w:val="20"/>
          <w:szCs w:val="20"/>
        </w:rPr>
        <w:t>online)</w:t>
      </w:r>
    </w:p>
    <w:p w14:paraId="193F972F" w14:textId="77777777" w:rsidR="00937FFA" w:rsidRPr="00FE0FA1" w:rsidRDefault="00937FFA" w:rsidP="00937FFA">
      <w:pPr>
        <w:ind w:left="1440"/>
        <w:jc w:val="both"/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James Hudspeth, </w:t>
      </w:r>
      <w:r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MD., Ph.D.</w:t>
      </w: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</w:t>
      </w:r>
      <w:r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(E.M. Kirby Professor of Neuroscience, Rockefeller University)</w:t>
      </w:r>
    </w:p>
    <w:p w14:paraId="7BE0494B" w14:textId="77777777" w:rsidR="00937FFA" w:rsidRDefault="00937FFA" w:rsidP="0023082A">
      <w:pPr>
        <w:ind w:left="1440" w:hanging="1440"/>
        <w:rPr>
          <w:rFonts w:ascii="Calibri" w:hAnsi="Calibri" w:cs="IdealSans-Light"/>
          <w:color w:val="404040" w:themeColor="text1" w:themeTint="BF"/>
          <w:sz w:val="20"/>
          <w:szCs w:val="20"/>
        </w:rPr>
      </w:pPr>
    </w:p>
    <w:p w14:paraId="4BBA9945" w14:textId="73541616" w:rsidR="0023082A" w:rsidRPr="00FE0FA1" w:rsidRDefault="0023082A" w:rsidP="0023082A">
      <w:pPr>
        <w:ind w:left="1440" w:hanging="1440"/>
        <w:rPr>
          <w:rFonts w:ascii="Calibri" w:hAnsi="Calibri" w:cs="IdealSans-Light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olor w:val="404040" w:themeColor="text1" w:themeTint="BF"/>
          <w:sz w:val="20"/>
          <w:szCs w:val="20"/>
        </w:rPr>
        <w:tab/>
        <w:t>Break</w:t>
      </w:r>
    </w:p>
    <w:p w14:paraId="63FC97CC" w14:textId="77777777" w:rsidR="0023082A" w:rsidRPr="00FE0FA1" w:rsidRDefault="0023082A" w:rsidP="0023082A">
      <w:pPr>
        <w:ind w:left="1440" w:hanging="1440"/>
        <w:rPr>
          <w:rFonts w:ascii="Calibri" w:hAnsi="Calibri" w:cs="IdealSans-Light"/>
          <w:caps/>
          <w:color w:val="404040" w:themeColor="text1" w:themeTint="BF"/>
          <w:sz w:val="20"/>
          <w:szCs w:val="20"/>
        </w:rPr>
      </w:pPr>
    </w:p>
    <w:p w14:paraId="4034868E" w14:textId="752A83A6" w:rsidR="0023082A" w:rsidRPr="00FE0FA1" w:rsidRDefault="0023082A" w:rsidP="0023082A">
      <w:pPr>
        <w:ind w:left="1440" w:hanging="1440"/>
        <w:rPr>
          <w:rFonts w:ascii="Calibri" w:hAnsi="Calibri" w:cs="IdealSans-Medium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17.30–18.00:</w:t>
      </w:r>
      <w:r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Sensitivity and tuning in hair cells of the inner ear</w:t>
      </w:r>
      <w:r w:rsidR="00E464ED"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 xml:space="preserve"> </w:t>
      </w:r>
      <w:r w:rsidR="00E464ED"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t>(online)</w:t>
      </w:r>
      <w:r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Dolores </w:t>
      </w:r>
      <w:proofErr w:type="spellStart"/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Bozovic</w:t>
      </w:r>
      <w:proofErr w:type="spellEnd"/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, </w:t>
      </w:r>
      <w:r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Ph.D.,</w:t>
      </w: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</w:t>
      </w:r>
      <w:r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(UCLA Center for Biological Physics)</w:t>
      </w:r>
    </w:p>
    <w:p w14:paraId="1F48A026" w14:textId="3A1ACAA1" w:rsidR="0023082A" w:rsidRPr="00FE0FA1" w:rsidRDefault="0023082A" w:rsidP="00C86B20">
      <w:pPr>
        <w:rPr>
          <w:rFonts w:ascii="Calibri" w:hAnsi="Calibri" w:cs="IdealSans-Light"/>
          <w:color w:val="404040" w:themeColor="text1" w:themeTint="BF"/>
          <w:sz w:val="20"/>
          <w:szCs w:val="20"/>
        </w:rPr>
      </w:pPr>
    </w:p>
    <w:p w14:paraId="7312D8CB" w14:textId="77777777" w:rsidR="0023082A" w:rsidRPr="00FE0FA1" w:rsidRDefault="0023082A" w:rsidP="0023082A">
      <w:pPr>
        <w:ind w:left="1440" w:hanging="1440"/>
        <w:jc w:val="both"/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18.00–18.30:</w:t>
      </w:r>
      <w:r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Seeking drug therapy for sensorineural hearing losses</w:t>
      </w:r>
    </w:p>
    <w:p w14:paraId="11BD6975" w14:textId="47DB5A65" w:rsidR="0023082A" w:rsidRPr="00FE0FA1" w:rsidRDefault="0023082A" w:rsidP="0023082A">
      <w:pPr>
        <w:ind w:left="1440"/>
        <w:jc w:val="both"/>
        <w:rPr>
          <w:rFonts w:ascii="Calibri" w:hAnsi="Calibri" w:cs="IdealSans-Medium"/>
          <w:iCs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Tibor </w:t>
      </w:r>
      <w:proofErr w:type="spellStart"/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Zelles</w:t>
      </w:r>
      <w:proofErr w:type="spellEnd"/>
      <w:r w:rsidR="00937FFA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,</w:t>
      </w:r>
      <w:r w:rsidR="00937FFA" w:rsidRPr="00937FFA">
        <w:rPr>
          <w:rFonts w:ascii="Calibri" w:hAnsi="Calibri" w:cs="IdealSans-Medium"/>
          <w:color w:val="404040" w:themeColor="text1" w:themeTint="BF"/>
          <w:sz w:val="20"/>
          <w:szCs w:val="20"/>
        </w:rPr>
        <w:t xml:space="preserve"> M.D., Ph.D.</w:t>
      </w: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</w:t>
      </w:r>
      <w:r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(associate professor, Dept. Oral Biology and Dept. Pharmacology &amp; Pharmacotherapy, Semmelweis University, Budapest; Laboratory of Molecular Pharmacology, Institute of Experimental Medicine, Budapest)</w:t>
      </w:r>
    </w:p>
    <w:p w14:paraId="33B1428C" w14:textId="77777777" w:rsidR="0023082A" w:rsidRPr="00FE0FA1" w:rsidRDefault="0023082A" w:rsidP="0023082A">
      <w:pPr>
        <w:ind w:left="1440" w:hanging="1440"/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</w:pPr>
    </w:p>
    <w:p w14:paraId="2A8363C1" w14:textId="4D343D95" w:rsidR="0023082A" w:rsidRPr="00FE0FA1" w:rsidRDefault="0023082A" w:rsidP="0023082A">
      <w:pPr>
        <w:ind w:left="1440" w:hanging="1440"/>
        <w:rPr>
          <w:rFonts w:ascii="Calibri" w:hAnsi="Calibri" w:cs="IdealSans-Medium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18.30–19.00:</w:t>
      </w:r>
      <w:r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The first artificial sensory organ - Cochlear Implant</w:t>
      </w:r>
      <w:r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="00C3526A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</w:t>
      </w:r>
      <w:r w:rsidR="00C3526A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József </w:t>
      </w:r>
      <w:proofErr w:type="spellStart"/>
      <w:r w:rsidR="00C3526A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Géza</w:t>
      </w:r>
      <w:proofErr w:type="spellEnd"/>
      <w:r w:rsidR="00C3526A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Kiss</w:t>
      </w:r>
      <w:r w:rsidR="00C3526A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, </w:t>
      </w:r>
      <w:r w:rsidR="00C3526A" w:rsidRPr="00937FFA">
        <w:rPr>
          <w:rFonts w:ascii="Calibri" w:hAnsi="Calibri" w:cs="IdealSans-Medium"/>
          <w:color w:val="404040" w:themeColor="text1" w:themeTint="BF"/>
          <w:sz w:val="20"/>
          <w:szCs w:val="20"/>
        </w:rPr>
        <w:t>Ph.D.</w:t>
      </w:r>
      <w:r w:rsidR="00C3526A"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 xml:space="preserve"> </w:t>
      </w:r>
      <w:r w:rsidR="00C3526A"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(</w:t>
      </w:r>
      <w:r w:rsidR="00C3526A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professor of audiology</w:t>
      </w:r>
      <w:r w:rsidR="00C3526A"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 xml:space="preserve">, University of Szeged, Albert Szent-Gyorgyi </w:t>
      </w:r>
      <w:r w:rsidR="00C3526A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>Medical</w:t>
      </w:r>
      <w:r w:rsidR="00C3526A" w:rsidRPr="00FE0FA1">
        <w:rPr>
          <w:rFonts w:ascii="Calibri" w:hAnsi="Calibri" w:cs="IdealSans-Medium"/>
          <w:iCs/>
          <w:color w:val="404040" w:themeColor="text1" w:themeTint="BF"/>
          <w:sz w:val="20"/>
          <w:szCs w:val="20"/>
        </w:rPr>
        <w:t xml:space="preserve"> Center, Department of Otolaryngology and Head &amp; Neck Surgery)</w:t>
      </w:r>
    </w:p>
    <w:p w14:paraId="30DC628C" w14:textId="77777777" w:rsidR="0023082A" w:rsidRPr="00FE0FA1" w:rsidRDefault="0023082A" w:rsidP="00C86B20">
      <w:pPr>
        <w:rPr>
          <w:rFonts w:ascii="Calibri" w:hAnsi="Calibri" w:cs="IdealSans-Light"/>
          <w:color w:val="404040" w:themeColor="text1" w:themeTint="BF"/>
          <w:sz w:val="20"/>
          <w:szCs w:val="20"/>
        </w:rPr>
      </w:pPr>
    </w:p>
    <w:p w14:paraId="007BC18A" w14:textId="546CBC8F" w:rsidR="0023082A" w:rsidRPr="00FE0FA1" w:rsidRDefault="0023082A" w:rsidP="0023082A">
      <w:pPr>
        <w:ind w:left="1440" w:hanging="1440"/>
        <w:rPr>
          <w:rFonts w:ascii="Calibri" w:hAnsi="Calibri" w:cs="IdealSans-Medium"/>
          <w:color w:val="404040" w:themeColor="text1" w:themeTint="BF"/>
          <w:sz w:val="20"/>
          <w:szCs w:val="20"/>
        </w:rPr>
      </w:pP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19.00-</w:t>
      </w:r>
      <w:r w:rsidR="000D6693"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19.15</w:t>
      </w:r>
      <w:r w:rsidRPr="00FE0FA1">
        <w:rPr>
          <w:rFonts w:ascii="Calibri" w:hAnsi="Calibri" w:cs="IdealSans-Light"/>
          <w:caps/>
          <w:color w:val="404040" w:themeColor="text1" w:themeTint="BF"/>
          <w:sz w:val="20"/>
          <w:szCs w:val="20"/>
        </w:rPr>
        <w:t>:</w:t>
      </w:r>
      <w:r w:rsidRPr="00FE0FA1">
        <w:rPr>
          <w:rFonts w:ascii="Calibri" w:hAnsi="Calibri" w:cs="IdealSans-Medium"/>
          <w:caps/>
          <w:color w:val="404040" w:themeColor="text1" w:themeTint="BF"/>
          <w:sz w:val="20"/>
          <w:szCs w:val="20"/>
        </w:rPr>
        <w:tab/>
      </w:r>
      <w:r w:rsidRPr="00FE0FA1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</w:rPr>
        <w:t>Conclusions and closing</w:t>
      </w:r>
      <w:r w:rsidRPr="00FE0FA1">
        <w:rPr>
          <w:rFonts w:ascii="Calibri" w:hAnsi="Calibri" w:cs="IdealSans-Medium"/>
          <w:color w:val="404040" w:themeColor="text1" w:themeTint="BF"/>
          <w:sz w:val="20"/>
          <w:szCs w:val="20"/>
        </w:rPr>
        <w:br/>
      </w:r>
      <w:r w:rsidRPr="00FE0FA1">
        <w:rPr>
          <w:rFonts w:ascii="Calibri" w:hAnsi="Calibri" w:cs="IdealSans-Medium"/>
          <w:i/>
          <w:iCs/>
          <w:color w:val="404040" w:themeColor="text1" w:themeTint="BF"/>
          <w:sz w:val="20"/>
          <w:szCs w:val="20"/>
        </w:rPr>
        <w:t>György Panyi and Miklós Kellermayer</w:t>
      </w:r>
    </w:p>
    <w:p w14:paraId="0AFCCB73" w14:textId="76BDBF13" w:rsidR="00C15C55" w:rsidRPr="00FE0FA1" w:rsidRDefault="00C15C55" w:rsidP="00C15C55">
      <w:pPr>
        <w:tabs>
          <w:tab w:val="left" w:pos="5889"/>
        </w:tabs>
      </w:pPr>
    </w:p>
    <w:sectPr w:rsidR="00C15C55" w:rsidRPr="00FE0FA1" w:rsidSect="00C15C55">
      <w:headerReference w:type="default" r:id="rId7"/>
      <w:footerReference w:type="default" r:id="rId8"/>
      <w:pgSz w:w="11900" w:h="16840"/>
      <w:pgMar w:top="3629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AEB5" w14:textId="77777777" w:rsidR="004A132B" w:rsidRDefault="004A132B" w:rsidP="00C358DE">
      <w:r>
        <w:separator/>
      </w:r>
    </w:p>
  </w:endnote>
  <w:endnote w:type="continuationSeparator" w:id="0">
    <w:p w14:paraId="57ED6895" w14:textId="77777777" w:rsidR="004A132B" w:rsidRDefault="004A132B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Light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IdealSans-Medium">
    <w:altName w:val="Times New Roman"/>
    <w:charset w:val="00"/>
    <w:family w:val="auto"/>
    <w:pitch w:val="variable"/>
    <w:sig w:usb0="00000001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5683" w14:textId="354B8C34" w:rsidR="0004649E" w:rsidRPr="00994B47" w:rsidRDefault="00FE0FA1" w:rsidP="00FE0FA1">
    <w:pPr>
      <w:pStyle w:val="Alapbekezds"/>
      <w:tabs>
        <w:tab w:val="left" w:pos="2844"/>
      </w:tabs>
      <w:jc w:val="center"/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 w:rsidRPr="00FE0FA1">
      <w:rPr>
        <w:rFonts w:ascii="Calibri" w:hAnsi="Calibri" w:cs="IdealSans-BookItalic"/>
        <w:i/>
        <w:iCs/>
        <w:caps/>
        <w:noProof/>
        <w:color w:val="7B9DC7"/>
        <w:spacing w:val="73"/>
        <w:sz w:val="40"/>
        <w:szCs w:val="40"/>
        <w:lang w:val="hu-HU" w:eastAsia="hu-HU"/>
      </w:rPr>
      <w:drawing>
        <wp:anchor distT="0" distB="0" distL="114300" distR="114300" simplePos="0" relativeHeight="251670528" behindDoc="0" locked="0" layoutInCell="1" allowOverlap="1" wp14:anchorId="5855C12A" wp14:editId="77C254B8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3722370" cy="251689"/>
          <wp:effectExtent l="0" t="0" r="0" b="0"/>
          <wp:wrapSquare wrapText="bothSides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TU-logo-felirattal-2022_ENG_slo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370" cy="251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777DF6EC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5539" w14:textId="77777777" w:rsidR="004A132B" w:rsidRDefault="004A132B" w:rsidP="00C358DE">
      <w:r>
        <w:separator/>
      </w:r>
    </w:p>
  </w:footnote>
  <w:footnote w:type="continuationSeparator" w:id="0">
    <w:p w14:paraId="5C2DDB5A" w14:textId="77777777" w:rsidR="004A132B" w:rsidRDefault="004A132B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735D" w14:textId="09B93E1F" w:rsidR="00C358DE" w:rsidRPr="00994B47" w:rsidRDefault="00801F2A" w:rsidP="00801F2A">
    <w:pPr>
      <w:pStyle w:val="Header"/>
      <w:jc w:val="center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9504" behindDoc="0" locked="0" layoutInCell="1" allowOverlap="1" wp14:anchorId="61DDAD8A" wp14:editId="0A04A1C1">
          <wp:simplePos x="0" y="0"/>
          <wp:positionH relativeFrom="margin">
            <wp:align>center</wp:align>
          </wp:positionH>
          <wp:positionV relativeFrom="paragraph">
            <wp:posOffset>-471170</wp:posOffset>
          </wp:positionV>
          <wp:extent cx="2821680" cy="1589491"/>
          <wp:effectExtent l="0" t="0" r="0" b="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TU-logo-felirattal-2022_ENG_MTUlogo_H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680" cy="1589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04D"/>
    <w:multiLevelType w:val="hybridMultilevel"/>
    <w:tmpl w:val="A9BE8A08"/>
    <w:lvl w:ilvl="0" w:tplc="15B4F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713"/>
    <w:multiLevelType w:val="hybridMultilevel"/>
    <w:tmpl w:val="A9BE8A08"/>
    <w:lvl w:ilvl="0" w:tplc="15B4F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F5C"/>
    <w:multiLevelType w:val="hybridMultilevel"/>
    <w:tmpl w:val="3D1E1176"/>
    <w:lvl w:ilvl="0" w:tplc="2DDCCB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824417">
    <w:abstractNumId w:val="2"/>
  </w:num>
  <w:num w:numId="2" w16cid:durableId="709038233">
    <w:abstractNumId w:val="0"/>
  </w:num>
  <w:num w:numId="3" w16cid:durableId="207565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DE"/>
    <w:rsid w:val="0004649E"/>
    <w:rsid w:val="00061A07"/>
    <w:rsid w:val="000D6693"/>
    <w:rsid w:val="000E40CF"/>
    <w:rsid w:val="00137447"/>
    <w:rsid w:val="00180178"/>
    <w:rsid w:val="00195ABD"/>
    <w:rsid w:val="001B7D1F"/>
    <w:rsid w:val="001D305B"/>
    <w:rsid w:val="0023082A"/>
    <w:rsid w:val="00234041"/>
    <w:rsid w:val="00242A9E"/>
    <w:rsid w:val="002B59E5"/>
    <w:rsid w:val="002D39DD"/>
    <w:rsid w:val="002D4E1B"/>
    <w:rsid w:val="002E028B"/>
    <w:rsid w:val="003355D0"/>
    <w:rsid w:val="003F60BF"/>
    <w:rsid w:val="004029ED"/>
    <w:rsid w:val="00420C0D"/>
    <w:rsid w:val="00451C0E"/>
    <w:rsid w:val="004718F3"/>
    <w:rsid w:val="00494F46"/>
    <w:rsid w:val="004A132B"/>
    <w:rsid w:val="004C55C6"/>
    <w:rsid w:val="004D391B"/>
    <w:rsid w:val="004D6409"/>
    <w:rsid w:val="004E48C7"/>
    <w:rsid w:val="00512B7A"/>
    <w:rsid w:val="005859C6"/>
    <w:rsid w:val="005979E7"/>
    <w:rsid w:val="005A6F82"/>
    <w:rsid w:val="005B274D"/>
    <w:rsid w:val="005E2A19"/>
    <w:rsid w:val="00604288"/>
    <w:rsid w:val="00704FB7"/>
    <w:rsid w:val="00747584"/>
    <w:rsid w:val="00772877"/>
    <w:rsid w:val="00792CAF"/>
    <w:rsid w:val="007E2A0A"/>
    <w:rsid w:val="00801F2A"/>
    <w:rsid w:val="0081275C"/>
    <w:rsid w:val="00814227"/>
    <w:rsid w:val="008176D3"/>
    <w:rsid w:val="0087621E"/>
    <w:rsid w:val="00890B52"/>
    <w:rsid w:val="00895E15"/>
    <w:rsid w:val="008E3D40"/>
    <w:rsid w:val="00937FFA"/>
    <w:rsid w:val="00967AEF"/>
    <w:rsid w:val="00994B47"/>
    <w:rsid w:val="00A03D57"/>
    <w:rsid w:val="00A6376D"/>
    <w:rsid w:val="00A94FA8"/>
    <w:rsid w:val="00AE75CF"/>
    <w:rsid w:val="00C15C55"/>
    <w:rsid w:val="00C227ED"/>
    <w:rsid w:val="00C31533"/>
    <w:rsid w:val="00C3526A"/>
    <w:rsid w:val="00C358DE"/>
    <w:rsid w:val="00C3674B"/>
    <w:rsid w:val="00C658AE"/>
    <w:rsid w:val="00C739B6"/>
    <w:rsid w:val="00C86B20"/>
    <w:rsid w:val="00C95DD8"/>
    <w:rsid w:val="00D7467B"/>
    <w:rsid w:val="00DA4F92"/>
    <w:rsid w:val="00E464ED"/>
    <w:rsid w:val="00E955C4"/>
    <w:rsid w:val="00EB2A1F"/>
    <w:rsid w:val="00F10AF4"/>
    <w:rsid w:val="00F22FE4"/>
    <w:rsid w:val="00F75520"/>
    <w:rsid w:val="00F90E04"/>
    <w:rsid w:val="00FD1BF3"/>
    <w:rsid w:val="00FD3231"/>
    <w:rsid w:val="00FE0FA1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8DE"/>
  </w:style>
  <w:style w:type="paragraph" w:styleId="Footer">
    <w:name w:val="footer"/>
    <w:basedOn w:val="Normal"/>
    <w:link w:val="Footer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8DE"/>
  </w:style>
  <w:style w:type="paragraph" w:customStyle="1" w:styleId="Alapbekezds">
    <w:name w:val="[Alapbekezdés]"/>
    <w:basedOn w:val="Norma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7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5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Szabó-Szentesi Nikolett Judit</cp:lastModifiedBy>
  <cp:revision>2</cp:revision>
  <dcterms:created xsi:type="dcterms:W3CDTF">2022-11-15T11:35:00Z</dcterms:created>
  <dcterms:modified xsi:type="dcterms:W3CDTF">2022-11-15T11:35:00Z</dcterms:modified>
</cp:coreProperties>
</file>